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205D33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ЛЮБИМОВСКОГО</w:t>
      </w:r>
      <w:r w:rsidR="00EB56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33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EE00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D33">
        <w:rPr>
          <w:rFonts w:ascii="Times New Roman" w:hAnsi="Times New Roman" w:cs="Times New Roman"/>
          <w:sz w:val="28"/>
          <w:szCs w:val="28"/>
        </w:rPr>
        <w:t>2020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</w:t>
      </w:r>
      <w:r w:rsidR="00EE00CC"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82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</w:t>
      </w:r>
      <w:r w:rsidR="00353282">
        <w:rPr>
          <w:sz w:val="20"/>
        </w:rPr>
        <w:t xml:space="preserve">                    </w:t>
      </w:r>
    </w:p>
    <w:p w:rsidR="004C761D" w:rsidRPr="007213CE" w:rsidRDefault="00353282" w:rsidP="00353282">
      <w:pPr>
        <w:pStyle w:val="ad"/>
        <w:ind w:right="-541"/>
        <w:rPr>
          <w:sz w:val="20"/>
        </w:rPr>
      </w:pPr>
      <w:r>
        <w:rPr>
          <w:sz w:val="20"/>
        </w:rPr>
        <w:t xml:space="preserve">                     </w:t>
      </w:r>
      <w:r w:rsidR="00EE00CC">
        <w:rPr>
          <w:sz w:val="20"/>
        </w:rPr>
        <w:t xml:space="preserve">                                                        ПРОЕКТ</w:t>
      </w:r>
      <w:r>
        <w:rPr>
          <w:sz w:val="20"/>
        </w:rPr>
        <w:t xml:space="preserve">                                                                     </w:t>
      </w:r>
      <w:r w:rsidR="004C761D" w:rsidRPr="007213CE">
        <w:rPr>
          <w:sz w:val="20"/>
        </w:rPr>
        <w:t xml:space="preserve">     </w:t>
      </w:r>
    </w:p>
    <w:p w:rsidR="004C761D" w:rsidRPr="00353282" w:rsidRDefault="004C761D" w:rsidP="009F3EBE">
      <w:pPr>
        <w:pStyle w:val="ad"/>
        <w:ind w:left="-57" w:right="4025" w:firstLine="709"/>
        <w:rPr>
          <w:szCs w:val="28"/>
        </w:rPr>
      </w:pPr>
      <w:r w:rsidRPr="007213CE">
        <w:rPr>
          <w:sz w:val="20"/>
        </w:rPr>
        <w:t xml:space="preserve">                 </w:t>
      </w:r>
      <w:r w:rsidR="00353282">
        <w:rPr>
          <w:sz w:val="20"/>
        </w:rPr>
        <w:t xml:space="preserve">                                                </w:t>
      </w:r>
    </w:p>
    <w:p w:rsidR="00921E29" w:rsidRDefault="00EB5676" w:rsidP="00353282">
      <w:pPr>
        <w:pStyle w:val="ad"/>
        <w:tabs>
          <w:tab w:val="left" w:pos="7155"/>
        </w:tabs>
        <w:ind w:left="-57"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205D33">
        <w:rPr>
          <w:sz w:val="24"/>
          <w:szCs w:val="24"/>
        </w:rPr>
        <w:t>Любимово</w:t>
      </w:r>
    </w:p>
    <w:p w:rsidR="00353282" w:rsidRDefault="00353282" w:rsidP="00353282">
      <w:pPr>
        <w:pStyle w:val="ad"/>
        <w:ind w:right="-1"/>
        <w:jc w:val="center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0E437C">
        <w:rPr>
          <w:szCs w:val="28"/>
        </w:rPr>
        <w:t xml:space="preserve"> администрации Любимовского</w:t>
      </w:r>
      <w:r w:rsidR="003168F2" w:rsidRPr="00102AD9">
        <w:rPr>
          <w:szCs w:val="28"/>
        </w:rPr>
        <w:t xml:space="preserve"> муниципального </w:t>
      </w:r>
      <w:r w:rsidR="00892445">
        <w:rPr>
          <w:szCs w:val="28"/>
        </w:rPr>
        <w:t>образования</w:t>
      </w:r>
      <w:r w:rsidR="003168F2" w:rsidRPr="00102AD9">
        <w:rPr>
          <w:szCs w:val="28"/>
        </w:rPr>
        <w:t xml:space="preserve"> от </w:t>
      </w:r>
      <w:r w:rsidR="00BF5AB5">
        <w:rPr>
          <w:szCs w:val="28"/>
        </w:rPr>
        <w:t>16</w:t>
      </w:r>
      <w:r w:rsidR="003168F2" w:rsidRPr="00102AD9">
        <w:rPr>
          <w:szCs w:val="28"/>
        </w:rPr>
        <w:t>.</w:t>
      </w:r>
      <w:r w:rsidR="00892445">
        <w:rPr>
          <w:szCs w:val="28"/>
        </w:rPr>
        <w:t>06</w:t>
      </w:r>
      <w:r w:rsidR="003168F2" w:rsidRPr="00102AD9">
        <w:rPr>
          <w:szCs w:val="28"/>
        </w:rPr>
        <w:t>.</w:t>
      </w:r>
      <w:r w:rsidR="00892445">
        <w:rPr>
          <w:szCs w:val="28"/>
        </w:rPr>
        <w:t>2017</w:t>
      </w:r>
      <w:r w:rsidR="003168F2" w:rsidRPr="00102AD9">
        <w:rPr>
          <w:szCs w:val="28"/>
        </w:rPr>
        <w:t xml:space="preserve"> № </w:t>
      </w:r>
      <w:r w:rsidR="00BF5AB5">
        <w:rPr>
          <w:szCs w:val="28"/>
        </w:rPr>
        <w:t>20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BF5AB5">
        <w:rPr>
          <w:szCs w:val="28"/>
        </w:rPr>
        <w:t xml:space="preserve"> в администрации Любимовского</w:t>
      </w:r>
      <w:r w:rsidR="00892445">
        <w:rPr>
          <w:szCs w:val="28"/>
        </w:rPr>
        <w:t xml:space="preserve"> муниципального об</w:t>
      </w:r>
      <w:r w:rsidR="00BF5AB5">
        <w:rPr>
          <w:szCs w:val="28"/>
        </w:rPr>
        <w:t>р</w:t>
      </w:r>
      <w:r w:rsidR="00892445">
        <w:rPr>
          <w:szCs w:val="28"/>
        </w:rPr>
        <w:t>азования</w:t>
      </w:r>
      <w:r w:rsidR="003168F2" w:rsidRPr="00102AD9">
        <w:rPr>
          <w:szCs w:val="28"/>
        </w:rPr>
        <w:t>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BF5AB5">
        <w:rPr>
          <w:szCs w:val="28"/>
        </w:rPr>
        <w:t>Любимовского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BF5AB5">
        <w:rPr>
          <w:szCs w:val="28"/>
        </w:rPr>
        <w:t>Любимовского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  <w:r>
        <w:rPr>
          <w:szCs w:val="28"/>
        </w:rPr>
        <w:tab/>
      </w:r>
    </w:p>
    <w:p w:rsidR="00353282" w:rsidRPr="00102AD9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</w:p>
    <w:p w:rsidR="00102AD9" w:rsidRDefault="005D3C5A" w:rsidP="009F3EBE">
      <w:pPr>
        <w:pStyle w:val="ad"/>
        <w:rPr>
          <w:b/>
          <w:szCs w:val="28"/>
        </w:rPr>
      </w:pPr>
      <w:r>
        <w:rPr>
          <w:b/>
          <w:szCs w:val="28"/>
        </w:rPr>
        <w:t>Глава Любимовского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5D3C5A">
        <w:rPr>
          <w:b/>
          <w:szCs w:val="28"/>
        </w:rPr>
        <w:t xml:space="preserve">                   Н.И.Ефанова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D3C5A">
        <w:rPr>
          <w:rFonts w:ascii="Times New Roman" w:hAnsi="Times New Roman" w:cs="Times New Roman"/>
          <w:b w:val="0"/>
          <w:sz w:val="24"/>
          <w:szCs w:val="24"/>
        </w:rPr>
        <w:t>Любимовского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00CC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A162C" w:rsidRPr="008A162C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367C1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5D3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 в информационно-коммуникационной сети «Интернет»: </w:t>
      </w:r>
      <w:hyperlink r:id="rId10" w:history="1"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lyub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="005D3C5A" w:rsidRPr="005D3C5A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 xml:space="preserve">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5D3C5A" w:rsidRPr="005D3C5A">
        <w:rPr>
          <w:rFonts w:ascii="Times New Roman" w:hAnsi="Times New Roman" w:cs="Times New Roman"/>
          <w:sz w:val="28"/>
          <w:szCs w:val="28"/>
        </w:rPr>
        <w:t>/</w:t>
      </w:r>
      <w:r w:rsidR="005D3C5A">
        <w:rPr>
          <w:rFonts w:ascii="Times New Roman" w:hAnsi="Times New Roman" w:cs="Times New Roman"/>
          <w:sz w:val="28"/>
          <w:szCs w:val="28"/>
          <w:lang w:val="en-US"/>
        </w:rPr>
        <w:t>lyub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5D3C5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5D3C5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lyub</w:t>
      </w:r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1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45" w:rsidRPr="00A66A9F" w:rsidRDefault="0089244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DC62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97E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97E48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997E48">
        <w:rPr>
          <w:rFonts w:ascii="Times New Roman" w:hAnsi="Times New Roman" w:cs="Times New Roman"/>
          <w:sz w:val="28"/>
          <w:szCs w:val="28"/>
        </w:rPr>
        <w:t>16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997E48">
        <w:rPr>
          <w:rFonts w:ascii="Times New Roman" w:hAnsi="Times New Roman" w:cs="Times New Roman"/>
          <w:sz w:val="28"/>
          <w:szCs w:val="28"/>
        </w:rPr>
        <w:t>20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770889" w:rsidRPr="00CE6C03">
        <w:rPr>
          <w:rFonts w:ascii="Times New Roman" w:hAnsi="Times New Roman" w:cs="Times New Roman"/>
          <w:sz w:val="28"/>
          <w:szCs w:val="28"/>
        </w:rPr>
        <w:lastRenderedPageBreak/>
        <w:t>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97E48">
        <w:rPr>
          <w:rFonts w:ascii="Times New Roman" w:hAnsi="Times New Roman" w:cs="Times New Roman"/>
          <w:sz w:val="28"/>
          <w:szCs w:val="28"/>
        </w:rPr>
        <w:t xml:space="preserve"> в администрации Любимовского</w:t>
      </w:r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97E48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997E48">
        <w:rPr>
          <w:rFonts w:ascii="Times New Roman" w:hAnsi="Times New Roman" w:cs="Times New Roman"/>
          <w:sz w:val="28"/>
          <w:szCs w:val="28"/>
        </w:rPr>
        <w:t>16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997E48">
        <w:rPr>
          <w:rFonts w:ascii="Times New Roman" w:hAnsi="Times New Roman" w:cs="Times New Roman"/>
          <w:sz w:val="28"/>
          <w:szCs w:val="28"/>
        </w:rPr>
        <w:t>20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997E48">
        <w:rPr>
          <w:rFonts w:ascii="Times New Roman" w:hAnsi="Times New Roman" w:cs="Times New Roman"/>
          <w:sz w:val="28"/>
          <w:szCs w:val="28"/>
        </w:rPr>
        <w:t xml:space="preserve"> в администрации Любимовского</w:t>
      </w:r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</w:t>
      </w:r>
      <w:r w:rsidR="008B4F54">
        <w:rPr>
          <w:rFonts w:ascii="Times New Roman" w:hAnsi="Times New Roman" w:cs="Times New Roman"/>
          <w:sz w:val="28"/>
          <w:szCs w:val="28"/>
        </w:rPr>
        <w:t xml:space="preserve"> 29.01.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4F54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индивидуальных </w:t>
      </w:r>
      <w:r w:rsidRPr="005A3291">
        <w:rPr>
          <w:rFonts w:ascii="Times New Roman" w:hAnsi="Times New Roman" w:cs="Times New Roman"/>
          <w:sz w:val="28"/>
          <w:szCs w:val="28"/>
        </w:rPr>
        <w:lastRenderedPageBreak/>
        <w:t>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BC30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 и включает в себя сведения о дате,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35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92445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523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C449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lyub</w:t>
        </w:r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7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8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lastRenderedPageBreak/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9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5.13. Заявитель имеет право обжаловать решение администрации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807C17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D8530C">
        <w:rPr>
          <w:rFonts w:ascii="Times New Roman" w:hAnsi="Times New Roman" w:cs="Times New Roman"/>
          <w:b/>
          <w:sz w:val="28"/>
          <w:szCs w:val="28"/>
        </w:rPr>
        <w:t xml:space="preserve"> специалист   </w:t>
      </w:r>
      <w:r w:rsidR="008924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И.В.Табако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4A71A9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36C9">
              <w:rPr>
                <w:rFonts w:ascii="Times New Roman" w:hAnsi="Times New Roman" w:cs="Times New Roman"/>
                <w:bCs/>
              </w:rPr>
              <w:t>Любимовского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0236C9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с.Любимово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3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0236C9" w:rsidP="000D6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="000236C9">
              <w:rPr>
                <w:rFonts w:ascii="Calibri" w:eastAsia="Calibri" w:hAnsi="Calibri" w:cs="Times New Roman"/>
                <w:u w:val="single"/>
                <w:lang w:val="en-US"/>
              </w:rPr>
              <w:t>lyub</w:t>
            </w:r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4A07C4" w:rsidRPr="00EE00CC" w:rsidRDefault="004A07C4" w:rsidP="004A07C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_MON_1522483436"/>
      <w:bookmarkStart w:id="15" w:name="_MON_1522483455"/>
      <w:bookmarkStart w:id="16" w:name="_MON_1522483502"/>
      <w:bookmarkStart w:id="17" w:name="_MON_1522484105"/>
      <w:bookmarkStart w:id="18" w:name="_MON_1494940254"/>
      <w:bookmarkStart w:id="19" w:name="_MON_1494941060"/>
      <w:bookmarkStart w:id="20" w:name="_MON_1494941876"/>
      <w:bookmarkStart w:id="21" w:name="_MON_1494941895"/>
      <w:bookmarkStart w:id="22" w:name="_MON_1494941925"/>
      <w:bookmarkStart w:id="23" w:name="_MON_1495019779"/>
      <w:bookmarkStart w:id="24" w:name="_MON_1509777150"/>
      <w:bookmarkStart w:id="25" w:name="_MON_1509778268"/>
      <w:bookmarkStart w:id="26" w:name="_MON_1522482608"/>
      <w:bookmarkStart w:id="27" w:name="_MON_1522482640"/>
      <w:bookmarkStart w:id="28" w:name="_MON_152248333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AF6AB7" w:rsidRPr="00EE00C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4A07C4" w:rsidRPr="00AF6AB7" w:rsidRDefault="004A07C4" w:rsidP="004A07C4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A07C4" w:rsidRPr="00AF6AB7" w:rsidRDefault="004A07C4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6A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4A07C4" w:rsidRDefault="004A07C4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60720A" w:rsidRDefault="0060720A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0720A" w:rsidRDefault="0060720A" w:rsidP="0060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Pr="0060720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42" w:rsidRPr="00F51842" w:rsidRDefault="00F51842" w:rsidP="0060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8"/>
      </w:tblGrid>
      <w:tr w:rsidR="00F51842" w:rsidRPr="00F51842" w:rsidTr="00F51842">
        <w:trPr>
          <w:trHeight w:val="576"/>
        </w:trPr>
        <w:tc>
          <w:tcPr>
            <w:tcW w:w="9178" w:type="dxa"/>
          </w:tcPr>
          <w:p w:rsidR="00F51842" w:rsidRPr="00EE00CC" w:rsidRDefault="00F51842" w:rsidP="00F51842">
            <w:pPr>
              <w:pStyle w:val="6"/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1842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РАЗРЕШЕНИЕ</w:t>
            </w:r>
            <w:r w:rsidRPr="00EE00CC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51842" w:rsidRPr="00F51842" w:rsidRDefault="00F51842" w:rsidP="00F51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/>
                <w:sz w:val="28"/>
                <w:szCs w:val="28"/>
              </w:rPr>
              <w:t>НА РАЗМЕЩЕНИЕ НЕСТАЦИОНАРНЫХ ТОРГОВЫХ ОБЪЕКТОВ</w:t>
            </w:r>
          </w:p>
        </w:tc>
      </w:tr>
    </w:tbl>
    <w:p w:rsidR="004A07C4" w:rsidRPr="00F51842" w:rsidRDefault="004A07C4" w:rsidP="004A07C4"/>
    <w:tbl>
      <w:tblPr>
        <w:tblStyle w:val="ac"/>
        <w:tblW w:w="0" w:type="auto"/>
        <w:tblInd w:w="108" w:type="dxa"/>
        <w:tblLook w:val="04A0"/>
      </w:tblPr>
      <w:tblGrid>
        <w:gridCol w:w="4819"/>
        <w:gridCol w:w="4395"/>
      </w:tblGrid>
      <w:tr w:rsidR="00F51842" w:rsidTr="00287775">
        <w:tc>
          <w:tcPr>
            <w:tcW w:w="9214" w:type="dxa"/>
            <w:gridSpan w:val="2"/>
          </w:tcPr>
          <w:p w:rsidR="00F51842" w:rsidRPr="00287775" w:rsidRDefault="00F51842" w:rsidP="002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75">
              <w:rPr>
                <w:rFonts w:ascii="Times New Roman" w:hAnsi="Times New Roman" w:cs="Times New Roman"/>
                <w:sz w:val="24"/>
                <w:szCs w:val="24"/>
              </w:rPr>
              <w:t xml:space="preserve">№______________                                                   </w:t>
            </w:r>
            <w:r w:rsidR="00287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775">
              <w:rPr>
                <w:rFonts w:ascii="Times New Roman" w:hAnsi="Times New Roman" w:cs="Times New Roman"/>
                <w:sz w:val="24"/>
                <w:szCs w:val="24"/>
              </w:rPr>
              <w:t xml:space="preserve">         «____»_______</w:t>
            </w:r>
            <w:r w:rsidR="00287775" w:rsidRPr="00287775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  <w:p w:rsidR="00287775" w:rsidRPr="00287775" w:rsidRDefault="00287775" w:rsidP="0028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42" w:rsidTr="00F51842">
        <w:tc>
          <w:tcPr>
            <w:tcW w:w="4819" w:type="dxa"/>
          </w:tcPr>
          <w:p w:rsidR="00F51842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субъекта:</w:t>
            </w:r>
          </w:p>
        </w:tc>
        <w:tc>
          <w:tcPr>
            <w:tcW w:w="4395" w:type="dxa"/>
          </w:tcPr>
          <w:p w:rsidR="00F51842" w:rsidRDefault="00F51842" w:rsidP="004A07C4"/>
        </w:tc>
      </w:tr>
      <w:tr w:rsidR="00F51842" w:rsidTr="00F51842">
        <w:tc>
          <w:tcPr>
            <w:tcW w:w="4819" w:type="dxa"/>
          </w:tcPr>
          <w:p w:rsidR="00F51842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объекта:</w:t>
            </w:r>
          </w:p>
        </w:tc>
        <w:tc>
          <w:tcPr>
            <w:tcW w:w="4395" w:type="dxa"/>
          </w:tcPr>
          <w:p w:rsidR="00F51842" w:rsidRDefault="00F51842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Реквизиты объекта: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налогового органа (ИНН):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Специализация: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Метод торгового обслуживания: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Тип предприятия: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Вид права: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4395" w:type="dxa"/>
          </w:tcPr>
          <w:p w:rsidR="00287775" w:rsidRDefault="00287775" w:rsidP="004A07C4"/>
        </w:tc>
      </w:tr>
    </w:tbl>
    <w:p w:rsidR="00287775" w:rsidRDefault="00287775" w:rsidP="004A07C4"/>
    <w:p w:rsidR="00287775" w:rsidRDefault="00287775" w:rsidP="0028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775">
        <w:rPr>
          <w:rFonts w:ascii="Times New Roman" w:hAnsi="Times New Roman" w:cs="Times New Roman"/>
          <w:b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действующего законодательства.</w:t>
      </w:r>
    </w:p>
    <w:p w:rsidR="00287775" w:rsidRPr="00287775" w:rsidRDefault="00287775" w:rsidP="0028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нормативных требований по оформлению объектов, благоустройству и содержанию мест торговли.</w:t>
      </w:r>
    </w:p>
    <w:p w:rsidR="004A07C4" w:rsidRDefault="00287775" w:rsidP="004A07C4">
      <w:r>
        <w:t xml:space="preserve"> </w:t>
      </w:r>
    </w:p>
    <w:p w:rsidR="009B1063" w:rsidRDefault="009B1063" w:rsidP="009B1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Любимовского</w:t>
      </w:r>
    </w:p>
    <w:p w:rsidR="009B1063" w:rsidRPr="009B1063" w:rsidRDefault="009B1063" w:rsidP="009B1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________________</w:t>
      </w:r>
    </w:p>
    <w:p w:rsidR="00C356B3" w:rsidRPr="008C4EFE" w:rsidRDefault="008C4EFE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риложение № 3</w:t>
      </w:r>
    </w:p>
    <w:p w:rsidR="00C356B3" w:rsidRPr="008C4EFE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C356B3" w:rsidRPr="008C4EFE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C356B3"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Согласование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C356B3" w:rsidRPr="008C4EFE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C356B3" w:rsidRPr="008C4EFE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</w:rPr>
      </w:pPr>
      <w:r w:rsidRPr="008C4EFE">
        <w:rPr>
          <w:rFonts w:ascii="Times New Roman" w:hAnsi="Times New Roman" w:cs="Times New Roman"/>
          <w:bCs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</w:t>
      </w:r>
      <w:r w:rsidR="008C4EFE">
        <w:rPr>
          <w:rFonts w:ascii="Times New Roman" w:hAnsi="Times New Roman" w:cs="Times New Roman"/>
          <w:sz w:val="24"/>
          <w:szCs w:val="24"/>
        </w:rPr>
        <w:t xml:space="preserve"> </w:t>
      </w:r>
      <w:r w:rsidRPr="00E653C8">
        <w:rPr>
          <w:rFonts w:ascii="Times New Roman" w:hAnsi="Times New Roman" w:cs="Times New Roman"/>
          <w:sz w:val="24"/>
          <w:szCs w:val="24"/>
        </w:rPr>
        <w:t xml:space="preserve">предусмотренному(-ым)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8C4EFE">
        <w:rPr>
          <w:rFonts w:ascii="Times New Roman" w:hAnsi="Times New Roman" w:cs="Times New Roman"/>
          <w:sz w:val="24"/>
          <w:szCs w:val="24"/>
        </w:rPr>
        <w:t>Любимовского муниципального образования</w:t>
      </w:r>
      <w:r w:rsidR="00E653C8">
        <w:rPr>
          <w:rFonts w:ascii="Times New Roman" w:hAnsi="Times New Roman" w:cs="Times New Roman"/>
          <w:sz w:val="24"/>
          <w:szCs w:val="24"/>
        </w:rPr>
        <w:t xml:space="preserve">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</w:t>
            </w:r>
            <w:r w:rsidR="008C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</w:t>
            </w:r>
            <w:r w:rsidR="008C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0B" w:rsidRDefault="007D1C0B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4EFE">
        <w:rPr>
          <w:rFonts w:ascii="Times New Roman" w:hAnsi="Times New Roman" w:cs="Times New Roman"/>
          <w:sz w:val="24"/>
          <w:szCs w:val="24"/>
        </w:rPr>
        <w:t>Любимовского</w:t>
      </w:r>
    </w:p>
    <w:p w:rsidR="00A1314D" w:rsidRPr="00E653C8" w:rsidRDefault="008C4EF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390E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4</w:t>
      </w:r>
    </w:p>
    <w:p w:rsidR="00E653C8" w:rsidRPr="008C4EFE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C8F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653C8"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8C4EFE">
        <w:rPr>
          <w:rFonts w:ascii="Times New Roman" w:hAnsi="Times New Roman" w:cs="Times New Roman"/>
          <w:bCs/>
          <w:sz w:val="22"/>
          <w:szCs w:val="22"/>
        </w:rPr>
        <w:t>Любимовского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1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(ФИО/наименование заявителя)          (подпись  заявителя/представителя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840C9" w:rsidP="009F3EBE">
      <w:pPr>
        <w:pStyle w:val="ConsPlusNonformat"/>
        <w:ind w:firstLine="709"/>
        <w:jc w:val="right"/>
      </w:pP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5</w:t>
      </w:r>
    </w:p>
    <w:p w:rsidR="00E653C8" w:rsidRPr="008C4EFE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6</w:t>
      </w:r>
    </w:p>
    <w:p w:rsidR="00E653C8" w:rsidRPr="008C4EFE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8C4EFE">
        <w:rPr>
          <w:rFonts w:ascii="Times New Roman" w:hAnsi="Times New Roman" w:cs="Times New Roman"/>
          <w:b/>
          <w:bCs/>
          <w:sz w:val="24"/>
          <w:szCs w:val="24"/>
        </w:rPr>
        <w:t>Любимовского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996" w:rsidRDefault="00881996" w:rsidP="00061715">
      <w:pPr>
        <w:spacing w:after="0" w:line="240" w:lineRule="auto"/>
      </w:pPr>
      <w:r>
        <w:separator/>
      </w:r>
    </w:p>
  </w:endnote>
  <w:endnote w:type="continuationSeparator" w:id="1">
    <w:p w:rsidR="00881996" w:rsidRDefault="00881996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561"/>
    </w:sdtPr>
    <w:sdtContent>
      <w:p w:rsidR="00287775" w:rsidRDefault="004A71A9">
        <w:pPr>
          <w:pStyle w:val="aa"/>
          <w:jc w:val="right"/>
        </w:pPr>
        <w:fldSimple w:instr=" PAGE   \* MERGEFORMAT ">
          <w:r w:rsidR="0013457A">
            <w:rPr>
              <w:noProof/>
            </w:rPr>
            <w:t>32</w:t>
          </w:r>
        </w:fldSimple>
      </w:p>
    </w:sdtContent>
  </w:sdt>
  <w:p w:rsidR="00287775" w:rsidRDefault="002877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996" w:rsidRDefault="00881996" w:rsidP="00061715">
      <w:pPr>
        <w:spacing w:after="0" w:line="240" w:lineRule="auto"/>
      </w:pPr>
      <w:r>
        <w:separator/>
      </w:r>
    </w:p>
  </w:footnote>
  <w:footnote w:type="continuationSeparator" w:id="1">
    <w:p w:rsidR="00881996" w:rsidRDefault="00881996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236C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0D66BD"/>
    <w:rsid w:val="000E437C"/>
    <w:rsid w:val="00102533"/>
    <w:rsid w:val="00102AD9"/>
    <w:rsid w:val="0010336E"/>
    <w:rsid w:val="001062BA"/>
    <w:rsid w:val="001111D9"/>
    <w:rsid w:val="001141ED"/>
    <w:rsid w:val="00114F02"/>
    <w:rsid w:val="00124569"/>
    <w:rsid w:val="0013457A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5D33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56F5"/>
    <w:rsid w:val="00277002"/>
    <w:rsid w:val="00277BDB"/>
    <w:rsid w:val="00281D91"/>
    <w:rsid w:val="00283399"/>
    <w:rsid w:val="0028346A"/>
    <w:rsid w:val="00284E4C"/>
    <w:rsid w:val="00286706"/>
    <w:rsid w:val="00286C45"/>
    <w:rsid w:val="0028777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12A6"/>
    <w:rsid w:val="00323566"/>
    <w:rsid w:val="00334F84"/>
    <w:rsid w:val="003361EE"/>
    <w:rsid w:val="003415AC"/>
    <w:rsid w:val="00341A18"/>
    <w:rsid w:val="003421E2"/>
    <w:rsid w:val="0035328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23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07C4"/>
    <w:rsid w:val="004A2C42"/>
    <w:rsid w:val="004A71A9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0C6E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C5A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0720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711F"/>
    <w:rsid w:val="006F4F20"/>
    <w:rsid w:val="006F7A80"/>
    <w:rsid w:val="00701281"/>
    <w:rsid w:val="00703D56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1C0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07C17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996"/>
    <w:rsid w:val="00881B25"/>
    <w:rsid w:val="00883A7A"/>
    <w:rsid w:val="00892445"/>
    <w:rsid w:val="008A0FFE"/>
    <w:rsid w:val="008A162C"/>
    <w:rsid w:val="008A29DC"/>
    <w:rsid w:val="008B1DC8"/>
    <w:rsid w:val="008B4F54"/>
    <w:rsid w:val="008B5BAD"/>
    <w:rsid w:val="008C4EFE"/>
    <w:rsid w:val="008C7DB0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97E48"/>
    <w:rsid w:val="009A3CC3"/>
    <w:rsid w:val="009B106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2647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AF6AB7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BF5AB5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A4283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277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00CC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842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A07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518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4A07C4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4A07C4"/>
    <w:rPr>
      <w:i/>
      <w:iCs/>
    </w:rPr>
  </w:style>
  <w:style w:type="character" w:styleId="af1">
    <w:name w:val="Intense Emphasis"/>
    <w:basedOn w:val="a0"/>
    <w:uiPriority w:val="21"/>
    <w:qFormat/>
    <w:rsid w:val="004A07C4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4A07C4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4A0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A07C4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4A07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07C4"/>
    <w:rPr>
      <w:i/>
      <w:iCs/>
      <w:color w:val="000000" w:themeColor="text1"/>
    </w:rPr>
  </w:style>
  <w:style w:type="paragraph" w:styleId="af5">
    <w:name w:val="Title"/>
    <w:basedOn w:val="a"/>
    <w:next w:val="a"/>
    <w:link w:val="af6"/>
    <w:uiPriority w:val="10"/>
    <w:qFormat/>
    <w:rsid w:val="004A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A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4A07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8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hyperlink" Target="http://www.pgu.saratov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E29F4037A76CC0AB94FE0F5DCA4FE00C6FB02DF646F4CB6A5E395266C3266A62F69FD39984A8295A0A2f8t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yub.stepnoe-adm.ru/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4A318F9D8ADF9483AC76F276F96D86A1B6525C67F327A61428D40A62F10188BA7F07EAI5T7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yub.stepnoe-adm.ru" TargetMode="External"/><Relationship Id="rId19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17EFAB1354FB569EE267971A5F45BBCDFE4B2C02556DA698C4D52F85456746F430478C9D4C7C08A991062a4i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43DD-3669-4990-A961-8DC4F25C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32</Pages>
  <Words>11537</Words>
  <Characters>65766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Любимово2</cp:lastModifiedBy>
  <cp:revision>2</cp:revision>
  <cp:lastPrinted>2020-03-17T08:47:00Z</cp:lastPrinted>
  <dcterms:created xsi:type="dcterms:W3CDTF">2020-03-17T11:37:00Z</dcterms:created>
  <dcterms:modified xsi:type="dcterms:W3CDTF">2020-03-17T11:37:00Z</dcterms:modified>
</cp:coreProperties>
</file>